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DC98">
      <w:pPr>
        <w:spacing w:line="360" w:lineRule="auto"/>
        <w:jc w:val="center"/>
        <w:outlineLvl w:val="0"/>
        <w:rPr>
          <w:rFonts w:hint="eastAsia" w:ascii="Times New Roman" w:hAnsi="Times New Roman" w:eastAsia="黑体" w:cs="Courier New"/>
          <w:bCs/>
          <w:color w:val="000000"/>
          <w:kern w:val="0"/>
          <w:sz w:val="44"/>
          <w:szCs w:val="21"/>
        </w:rPr>
      </w:pPr>
      <w:bookmarkStart w:id="0" w:name="_Toc24662"/>
      <w:r>
        <w:rPr>
          <w:rFonts w:hint="eastAsia" w:ascii="Times New Roman" w:hAnsi="Times New Roman" w:eastAsia="黑体" w:cs="Courier New"/>
          <w:bCs/>
          <w:color w:val="000000"/>
          <w:kern w:val="0"/>
          <w:sz w:val="44"/>
          <w:szCs w:val="21"/>
        </w:rPr>
        <w:t>采购需求</w:t>
      </w:r>
      <w:bookmarkEnd w:id="0"/>
    </w:p>
    <w:p w14:paraId="28608650">
      <w:pPr>
        <w:spacing w:before="120" w:after="120" w:line="360" w:lineRule="auto"/>
        <w:rPr>
          <w:rFonts w:hint="eastAsia" w:ascii="Times New Roman" w:hAnsi="Times New Roman" w:eastAsia="宋体" w:cs="Courier New"/>
          <w:color w:val="000000"/>
          <w:kern w:val="0"/>
          <w:sz w:val="24"/>
          <w:szCs w:val="24"/>
        </w:rPr>
      </w:pPr>
      <w:r>
        <w:rPr>
          <w:rFonts w:hint="eastAsia" w:ascii="Times New Roman" w:hAnsi="Times New Roman" w:eastAsia="宋体" w:cs="Courier New"/>
          <w:color w:val="000000"/>
          <w:kern w:val="0"/>
          <w:sz w:val="24"/>
          <w:szCs w:val="24"/>
        </w:rPr>
        <w:t>项目属性：服务类项目</w:t>
      </w:r>
    </w:p>
    <w:p w14:paraId="520BAEC0">
      <w:pPr>
        <w:spacing w:before="120" w:after="120" w:line="360" w:lineRule="auto"/>
        <w:rPr>
          <w:rFonts w:hint="eastAsia" w:ascii="Times New Roman" w:hAnsi="Times New Roman" w:eastAsia="宋体" w:cs="Courier New"/>
          <w:color w:val="000000"/>
          <w:kern w:val="0"/>
          <w:sz w:val="24"/>
          <w:szCs w:val="24"/>
          <w:u w:val="single"/>
        </w:rPr>
      </w:pPr>
      <w:r>
        <w:rPr>
          <w:rFonts w:hint="eastAsia" w:ascii="Times New Roman" w:hAnsi="Times New Roman" w:eastAsia="宋体" w:cs="Courier New"/>
          <w:color w:val="000000"/>
          <w:kern w:val="0"/>
          <w:sz w:val="24"/>
          <w:szCs w:val="24"/>
        </w:rPr>
        <w:t>本项目采购标的对应的中小企业划分标准所</w:t>
      </w:r>
      <w:bookmarkStart w:id="1" w:name="_GoBack"/>
      <w:bookmarkEnd w:id="1"/>
      <w:r>
        <w:rPr>
          <w:rFonts w:hint="eastAsia" w:ascii="Times New Roman" w:hAnsi="Times New Roman" w:eastAsia="宋体" w:cs="Courier New"/>
          <w:color w:val="000000"/>
          <w:kern w:val="0"/>
          <w:sz w:val="24"/>
          <w:szCs w:val="24"/>
        </w:rPr>
        <w:t>属行业：</w:t>
      </w:r>
      <w:r>
        <w:rPr>
          <w:rFonts w:hint="eastAsia" w:ascii="Times New Roman" w:hAnsi="Times New Roman" w:eastAsia="宋体" w:cs="Courier New"/>
          <w:color w:val="000000"/>
          <w:kern w:val="0"/>
          <w:sz w:val="24"/>
          <w:szCs w:val="24"/>
          <w:u w:val="single"/>
        </w:rPr>
        <w:t>其他未列明行业</w:t>
      </w:r>
    </w:p>
    <w:p w14:paraId="132BD818">
      <w:pPr>
        <w:spacing w:before="120" w:after="120" w:line="360" w:lineRule="auto"/>
        <w:rPr>
          <w:rFonts w:hint="default" w:ascii="Times New Roman" w:hAnsi="Times New Roman" w:eastAsia="宋体" w:cs="Times New Roman"/>
          <w:bCs/>
          <w:color w:val="000000"/>
          <w:kern w:val="0"/>
          <w:sz w:val="24"/>
          <w:szCs w:val="24"/>
        </w:rPr>
      </w:pPr>
      <w:r>
        <w:rPr>
          <w:rFonts w:hint="eastAsia" w:ascii="Times New Roman" w:hAnsi="Times New Roman" w:eastAsia="宋体" w:cs="Courier New"/>
          <w:color w:val="000000"/>
          <w:kern w:val="0"/>
          <w:sz w:val="24"/>
          <w:szCs w:val="24"/>
        </w:rPr>
        <w:t>本项目</w:t>
      </w:r>
      <w:r>
        <w:rPr>
          <w:rFonts w:hint="eastAsia" w:ascii="Times New Roman" w:hAnsi="Times New Roman" w:eastAsia="宋体" w:cs="Courier New"/>
          <w:color w:val="000000"/>
          <w:kern w:val="0"/>
          <w:sz w:val="24"/>
          <w:szCs w:val="24"/>
          <w:u w:val="single"/>
        </w:rPr>
        <w:t>不接受</w:t>
      </w:r>
      <w:r>
        <w:rPr>
          <w:rFonts w:hint="eastAsia" w:ascii="Times New Roman" w:hAnsi="Times New Roman" w:eastAsia="宋体" w:cs="Courier New"/>
          <w:color w:val="000000"/>
          <w:kern w:val="0"/>
          <w:sz w:val="24"/>
          <w:szCs w:val="24"/>
        </w:rPr>
        <w:t>（接受/不接受）进口产品。</w:t>
      </w:r>
    </w:p>
    <w:p w14:paraId="4E7EF159">
      <w:pPr>
        <w:widowControl w:val="0"/>
        <w:spacing w:line="360" w:lineRule="auto"/>
        <w:ind w:firstLine="480"/>
        <w:jc w:val="both"/>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一、规划背景</w:t>
      </w:r>
    </w:p>
    <w:p w14:paraId="664567E2">
      <w:pPr>
        <w:widowControl w:val="0"/>
        <w:spacing w:line="360" w:lineRule="auto"/>
        <w:ind w:firstLine="480"/>
        <w:jc w:val="both"/>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随着我市国土空间详细规划相继完成编制，为规范宿迁市中心城区详细规划修改与完善，增强详细规划的科学性和时效性，加强我市详细规划的管理，提供实时更新和动态维护的服务保障，规范详细规划编制成果数据，实时更新“规划一张图”。结合宿迁市中心城区实际情况，对其进行系统的控规编制动态维护工作。</w:t>
      </w:r>
    </w:p>
    <w:p w14:paraId="6B908058">
      <w:pPr>
        <w:widowControl w:val="0"/>
        <w:spacing w:line="360" w:lineRule="auto"/>
        <w:ind w:firstLine="480"/>
        <w:jc w:val="both"/>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项目名称：2025年宿迁市中心城区详细规划动态维护项目</w:t>
      </w:r>
    </w:p>
    <w:p w14:paraId="5C0CC3FF">
      <w:pPr>
        <w:widowControl w:val="0"/>
        <w:spacing w:line="360" w:lineRule="auto"/>
        <w:ind w:firstLine="480"/>
        <w:jc w:val="both"/>
        <w:rPr>
          <w:rFonts w:hint="eastAsia" w:ascii="宋体" w:hAnsi="宋体" w:eastAsia="宋体" w:cs="Times New Roman"/>
          <w:b w:val="0"/>
          <w:bCs w:val="0"/>
          <w:color w:val="000000"/>
          <w:kern w:val="0"/>
          <w:sz w:val="24"/>
          <w:szCs w:val="24"/>
          <w:highlight w:val="yellow"/>
          <w:lang w:val="en-US" w:eastAsia="zh-CN" w:bidi="ar-SA"/>
        </w:rPr>
      </w:pPr>
      <w:r>
        <w:rPr>
          <w:rFonts w:hint="eastAsia" w:ascii="宋体" w:hAnsi="宋体" w:eastAsia="宋体" w:cs="Times New Roman"/>
          <w:b w:val="0"/>
          <w:bCs w:val="0"/>
          <w:color w:val="000000"/>
          <w:kern w:val="0"/>
          <w:sz w:val="24"/>
          <w:szCs w:val="24"/>
          <w:highlight w:val="yellow"/>
          <w:lang w:val="en-US" w:eastAsia="zh-CN" w:bidi="ar-SA"/>
        </w:rPr>
        <w:t>采购预算：50万元，</w:t>
      </w:r>
      <w:r>
        <w:rPr>
          <w:rFonts w:hint="eastAsia" w:ascii="宋体" w:hAnsi="宋体" w:eastAsia="宋体" w:cs="Times New Roman"/>
          <w:b/>
          <w:bCs/>
          <w:color w:val="000000"/>
          <w:kern w:val="0"/>
          <w:sz w:val="24"/>
          <w:szCs w:val="24"/>
          <w:highlight w:val="yellow"/>
          <w:lang w:val="en-US" w:eastAsia="zh-CN" w:bidi="ar-SA"/>
        </w:rPr>
        <w:t>本次按固定单价进行报价，单价最高限价为0.3万元/公顷（最终以实际工作量结算）。</w:t>
      </w:r>
    </w:p>
    <w:p w14:paraId="416C56E6">
      <w:pPr>
        <w:widowControl w:val="0"/>
        <w:spacing w:line="360" w:lineRule="auto"/>
        <w:ind w:firstLine="480"/>
        <w:jc w:val="both"/>
        <w:rPr>
          <w:rFonts w:hint="default" w:ascii="宋体" w:hAnsi="宋体" w:eastAsia="宋体" w:cs="Times New Roman"/>
          <w:b w:val="0"/>
          <w:bCs w:val="0"/>
          <w:color w:val="000000"/>
          <w:sz w:val="24"/>
          <w:szCs w:val="24"/>
          <w:highlight w:val="yellow"/>
          <w:lang w:val="en-US" w:eastAsia="zh-CN" w:bidi="ar-SA"/>
        </w:rPr>
      </w:pPr>
      <w:r>
        <w:rPr>
          <w:rFonts w:hint="eastAsia" w:ascii="宋体" w:hAnsi="宋体" w:eastAsia="宋体" w:cs="Times New Roman"/>
          <w:b w:val="0"/>
          <w:bCs w:val="0"/>
          <w:color w:val="000000"/>
          <w:sz w:val="24"/>
          <w:szCs w:val="24"/>
          <w:highlight w:val="yellow"/>
          <w:lang w:val="en-US" w:eastAsia="zh-CN" w:bidi="ar-SA"/>
        </w:rPr>
        <w:t>注：</w:t>
      </w:r>
      <w:r>
        <w:rPr>
          <w:rFonts w:hint="default" w:ascii="宋体" w:hAnsi="宋体" w:eastAsia="宋体" w:cs="Times New Roman"/>
          <w:b w:val="0"/>
          <w:bCs w:val="0"/>
          <w:color w:val="000000"/>
          <w:sz w:val="24"/>
          <w:szCs w:val="24"/>
          <w:highlight w:val="yellow"/>
          <w:lang w:val="en-US" w:eastAsia="zh-CN" w:bidi="ar-SA"/>
        </w:rPr>
        <w:t>本项目费用实行双控，</w:t>
      </w:r>
      <w:r>
        <w:rPr>
          <w:rFonts w:hint="eastAsia" w:ascii="宋体" w:hAnsi="宋体" w:eastAsia="宋体" w:cs="Times New Roman"/>
          <w:b w:val="0"/>
          <w:bCs w:val="0"/>
          <w:color w:val="000000"/>
          <w:sz w:val="24"/>
          <w:szCs w:val="24"/>
          <w:highlight w:val="yellow"/>
          <w:lang w:val="en-US" w:eastAsia="zh-CN" w:bidi="ar-SA"/>
        </w:rPr>
        <w:t>维护</w:t>
      </w:r>
      <w:r>
        <w:rPr>
          <w:rFonts w:hint="default" w:ascii="宋体" w:hAnsi="宋体" w:eastAsia="宋体" w:cs="Times New Roman"/>
          <w:b w:val="0"/>
          <w:bCs w:val="0"/>
          <w:color w:val="000000"/>
          <w:sz w:val="24"/>
          <w:szCs w:val="24"/>
          <w:highlight w:val="yellow"/>
          <w:lang w:val="en-US" w:eastAsia="zh-CN" w:bidi="ar-SA"/>
        </w:rPr>
        <w:t>费用累计支付限额不超过</w:t>
      </w:r>
      <w:r>
        <w:rPr>
          <w:rFonts w:hint="default" w:ascii="宋体" w:hAnsi="宋体" w:eastAsia="宋体" w:cs="Times New Roman"/>
          <w:b/>
          <w:bCs/>
          <w:color w:val="000000"/>
          <w:sz w:val="24"/>
          <w:szCs w:val="24"/>
          <w:highlight w:val="yellow"/>
          <w:lang w:val="en-US" w:eastAsia="zh-CN" w:bidi="ar-SA"/>
        </w:rPr>
        <w:t>人民币</w:t>
      </w:r>
      <w:r>
        <w:rPr>
          <w:rFonts w:hint="eastAsia" w:ascii="宋体" w:hAnsi="宋体" w:eastAsia="宋体" w:cs="Times New Roman"/>
          <w:b/>
          <w:bCs/>
          <w:color w:val="000000"/>
          <w:sz w:val="24"/>
          <w:szCs w:val="24"/>
          <w:highlight w:val="yellow"/>
          <w:lang w:val="en-US" w:eastAsia="zh-CN" w:bidi="ar-SA"/>
        </w:rPr>
        <w:t>肆拾捌万</w:t>
      </w:r>
      <w:r>
        <w:rPr>
          <w:rFonts w:hint="default" w:ascii="宋体" w:hAnsi="宋体" w:eastAsia="宋体" w:cs="Times New Roman"/>
          <w:b/>
          <w:bCs/>
          <w:color w:val="000000"/>
          <w:sz w:val="24"/>
          <w:szCs w:val="24"/>
          <w:highlight w:val="yellow"/>
          <w:lang w:val="en-US" w:eastAsia="zh-CN" w:bidi="ar-SA"/>
        </w:rPr>
        <w:t>元整（¥：4</w:t>
      </w:r>
      <w:r>
        <w:rPr>
          <w:rFonts w:hint="eastAsia" w:ascii="宋体" w:hAnsi="宋体" w:eastAsia="宋体" w:cs="Times New Roman"/>
          <w:b/>
          <w:bCs/>
          <w:color w:val="000000"/>
          <w:sz w:val="24"/>
          <w:szCs w:val="24"/>
          <w:highlight w:val="yellow"/>
          <w:lang w:val="en-US" w:eastAsia="zh-CN" w:bidi="ar-SA"/>
        </w:rPr>
        <w:t>8</w:t>
      </w:r>
      <w:r>
        <w:rPr>
          <w:rFonts w:hint="default" w:ascii="宋体" w:hAnsi="宋体" w:eastAsia="宋体" w:cs="Times New Roman"/>
          <w:b/>
          <w:bCs/>
          <w:color w:val="000000"/>
          <w:sz w:val="24"/>
          <w:szCs w:val="24"/>
          <w:highlight w:val="yellow"/>
          <w:lang w:val="en-US" w:eastAsia="zh-CN" w:bidi="ar-SA"/>
        </w:rPr>
        <w:t>0000.00元）</w:t>
      </w:r>
      <w:r>
        <w:rPr>
          <w:rFonts w:hint="default" w:ascii="宋体" w:hAnsi="宋体" w:eastAsia="宋体" w:cs="Times New Roman"/>
          <w:b w:val="0"/>
          <w:bCs w:val="0"/>
          <w:color w:val="000000"/>
          <w:sz w:val="24"/>
          <w:szCs w:val="24"/>
          <w:highlight w:val="yellow"/>
          <w:lang w:val="en-US" w:eastAsia="zh-CN" w:bidi="ar-SA"/>
        </w:rPr>
        <w:t>，累计付款达到限额后，不再另行支付。</w:t>
      </w:r>
    </w:p>
    <w:p w14:paraId="7B8DCAD1">
      <w:pPr>
        <w:widowControl w:val="0"/>
        <w:spacing w:line="360" w:lineRule="auto"/>
        <w:ind w:firstLine="480"/>
        <w:jc w:val="both"/>
        <w:outlineLvl w:val="1"/>
        <w:rPr>
          <w:rFonts w:hint="eastAsia" w:ascii="宋体" w:hAnsi="宋体" w:eastAsia="宋体" w:cs="Arial"/>
          <w:b/>
          <w:color w:val="000000"/>
          <w:sz w:val="24"/>
          <w:szCs w:val="24"/>
          <w:lang w:val="en-US" w:eastAsia="zh-CN" w:bidi="ar-SA"/>
        </w:rPr>
      </w:pPr>
      <w:r>
        <w:rPr>
          <w:rFonts w:hint="eastAsia" w:ascii="宋体" w:hAnsi="宋体" w:eastAsia="宋体" w:cs="Arial"/>
          <w:b/>
          <w:color w:val="000000"/>
          <w:sz w:val="24"/>
          <w:szCs w:val="24"/>
          <w:lang w:val="en-US" w:eastAsia="zh-CN" w:bidi="ar-SA"/>
        </w:rPr>
        <w:t>二、合同履行期限及地点</w:t>
      </w:r>
    </w:p>
    <w:p w14:paraId="4DB49766">
      <w:pPr>
        <w:widowControl w:val="0"/>
        <w:spacing w:line="360" w:lineRule="auto"/>
        <w:ind w:firstLine="480"/>
        <w:jc w:val="both"/>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合同履行期限：12个月，自合同签订之日起。</w:t>
      </w:r>
    </w:p>
    <w:p w14:paraId="5A841FEE">
      <w:pPr>
        <w:widowControl w:val="0"/>
        <w:spacing w:line="360" w:lineRule="auto"/>
        <w:ind w:firstLine="480"/>
        <w:jc w:val="both"/>
        <w:outlineLvl w:val="1"/>
        <w:rPr>
          <w:rFonts w:hint="eastAsia" w:ascii="宋体" w:hAnsi="宋体" w:eastAsia="宋体" w:cs="Arial"/>
          <w:b/>
          <w:color w:val="000000"/>
          <w:sz w:val="24"/>
          <w:szCs w:val="24"/>
          <w:lang w:val="en-US" w:eastAsia="zh-CN" w:bidi="ar-SA"/>
        </w:rPr>
      </w:pPr>
      <w:r>
        <w:rPr>
          <w:rFonts w:hint="eastAsia" w:ascii="宋体" w:hAnsi="宋体" w:eastAsia="宋体" w:cs="Arial"/>
          <w:b w:val="0"/>
          <w:bCs/>
          <w:color w:val="000000"/>
          <w:sz w:val="24"/>
          <w:szCs w:val="24"/>
          <w:lang w:val="en-US" w:eastAsia="zh-CN" w:bidi="ar-SA"/>
        </w:rPr>
        <w:t>服务地点：具体由采购人指定。</w:t>
      </w:r>
    </w:p>
    <w:p w14:paraId="4E34BEA8">
      <w:pPr>
        <w:widowControl w:val="0"/>
        <w:spacing w:line="360" w:lineRule="auto"/>
        <w:ind w:firstLine="480"/>
        <w:jc w:val="both"/>
        <w:outlineLvl w:val="1"/>
        <w:rPr>
          <w:rFonts w:hint="eastAsia" w:ascii="宋体" w:hAnsi="宋体" w:eastAsia="宋体" w:cs="Arial"/>
          <w:b/>
          <w:color w:val="000000"/>
          <w:sz w:val="24"/>
          <w:szCs w:val="24"/>
          <w:lang w:val="en-US" w:eastAsia="zh-CN" w:bidi="ar-SA"/>
        </w:rPr>
      </w:pPr>
      <w:r>
        <w:rPr>
          <w:rFonts w:hint="eastAsia" w:ascii="宋体" w:hAnsi="宋体" w:eastAsia="宋体" w:cs="Arial"/>
          <w:b/>
          <w:color w:val="000000"/>
          <w:sz w:val="24"/>
          <w:szCs w:val="24"/>
          <w:lang w:val="en-US" w:eastAsia="zh-CN" w:bidi="ar-SA"/>
        </w:rPr>
        <w:t>三、服务内容</w:t>
      </w:r>
    </w:p>
    <w:p w14:paraId="1F757137">
      <w:pPr>
        <w:widowControl w:val="0"/>
        <w:spacing w:line="360" w:lineRule="auto"/>
        <w:ind w:firstLine="480"/>
        <w:jc w:val="both"/>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本次规划服务内容为详细规划地块（含技术深化）动态维护及相关数据入库。</w:t>
      </w:r>
    </w:p>
    <w:p w14:paraId="2F473079">
      <w:pPr>
        <w:widowControl w:val="0"/>
        <w:spacing w:line="360" w:lineRule="auto"/>
        <w:ind w:firstLine="480"/>
        <w:jc w:val="both"/>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1、详细规划动态维护</w:t>
      </w:r>
    </w:p>
    <w:p w14:paraId="7A7530E8">
      <w:pPr>
        <w:widowControl w:val="0"/>
        <w:spacing w:line="360" w:lineRule="auto"/>
        <w:ind w:firstLine="480"/>
        <w:jc w:val="both"/>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对详细规划进行动态维护应按照申请及受理、编制可行性研究报告及方案、审查及征求意见、审批及公布四道程序进行维护。阐明地块调整原因，分析现状地块用地属性、交通组织、人口规模、设施配套等方面，明确调整地块后的土地指标、容积率、建筑密度等核心控制内容。在维护过程中对编制单元、图则管理单元同步进行分类控制与引导。</w:t>
      </w:r>
    </w:p>
    <w:p w14:paraId="65FA33CD">
      <w:pPr>
        <w:widowControl w:val="0"/>
        <w:spacing w:line="360" w:lineRule="auto"/>
        <w:ind w:firstLine="480"/>
        <w:jc w:val="both"/>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分析详细规划调整原因以及其必要性，例如：因国家规范或相关政策变化，对详细规划区域的功能与布局产生重大影响的、国家和省重点建设项目对详细规划区域的功能与用地布局产生较大影响的、因城市建设需要和建设项目的实施情况变化，需要对规划控制要求进行局部调整等情况。从调整背景、社会经济和人民需求等方面进行较为全面的分析，论证拟调整地块的必要性。</w:t>
      </w:r>
    </w:p>
    <w:p w14:paraId="5B0B94F7">
      <w:pPr>
        <w:widowControl w:val="0"/>
        <w:spacing w:line="360" w:lineRule="auto"/>
        <w:ind w:firstLine="480"/>
        <w:jc w:val="both"/>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明确调整内容、分析调整地块及周边现状的土地利用、人口规模、道路交通、设施配套等情况，明确相关规划对调整地块的强制性内容，针对人口、用地性质、地块控制基本指标、各类公共管理与公共服务设施、道路交通、市政设施等涉及方面进行调整可行性分析，提出结论性意见。能以相关规范和相关规划为依据，可行性分析角度较为全面，论证得出规划调整地块是否有可行性。</w:t>
      </w:r>
    </w:p>
    <w:p w14:paraId="21A6B6E6">
      <w:pPr>
        <w:widowControl w:val="0"/>
        <w:spacing w:line="360" w:lineRule="auto"/>
        <w:ind w:firstLine="480"/>
        <w:jc w:val="both"/>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2、地块详细规划数据入库</w:t>
      </w:r>
    </w:p>
    <w:p w14:paraId="1CAE48FE">
      <w:pPr>
        <w:widowControl w:val="0"/>
        <w:spacing w:line="360" w:lineRule="auto"/>
        <w:ind w:firstLine="480"/>
        <w:jc w:val="both"/>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结合详细规划动态调整以及其他需动态更新情况，进行数据入库。入库数据应符合省、市相关数据库规定，满足管理使用需求。</w:t>
      </w:r>
    </w:p>
    <w:p w14:paraId="68D7D5DC">
      <w:pPr>
        <w:widowControl w:val="0"/>
        <w:spacing w:line="360" w:lineRule="auto"/>
        <w:ind w:right="105" w:firstLine="482"/>
        <w:jc w:val="left"/>
        <w:outlineLvl w:val="1"/>
        <w:rPr>
          <w:rFonts w:hint="default" w:ascii="宋体" w:hAnsi="宋体" w:eastAsia="宋体" w:cs="Arial"/>
          <w:b/>
          <w:color w:val="000000"/>
          <w:sz w:val="24"/>
          <w:szCs w:val="24"/>
          <w:lang w:val="en-US" w:eastAsia="zh-CN" w:bidi="ar-SA"/>
        </w:rPr>
      </w:pPr>
      <w:r>
        <w:rPr>
          <w:rFonts w:hint="eastAsia" w:ascii="宋体" w:hAnsi="宋体" w:eastAsia="宋体" w:cs="Arial"/>
          <w:b/>
          <w:color w:val="000000"/>
          <w:sz w:val="24"/>
          <w:szCs w:val="24"/>
          <w:lang w:val="en-US" w:eastAsia="zh-CN" w:bidi="ar-SA"/>
        </w:rPr>
        <w:t>四</w:t>
      </w:r>
      <w:r>
        <w:rPr>
          <w:rFonts w:hint="default" w:ascii="宋体" w:hAnsi="宋体" w:eastAsia="宋体" w:cs="Arial"/>
          <w:b/>
          <w:color w:val="000000"/>
          <w:sz w:val="24"/>
          <w:szCs w:val="24"/>
          <w:lang w:val="en-US" w:eastAsia="zh-CN" w:bidi="ar-SA"/>
        </w:rPr>
        <w:t>、</w:t>
      </w:r>
      <w:r>
        <w:rPr>
          <w:rFonts w:hint="eastAsia" w:ascii="宋体" w:hAnsi="宋体" w:eastAsia="宋体" w:cs="Arial"/>
          <w:b/>
          <w:color w:val="000000"/>
          <w:sz w:val="24"/>
          <w:szCs w:val="24"/>
          <w:lang w:val="en-US" w:eastAsia="zh-CN" w:bidi="ar-SA"/>
        </w:rPr>
        <w:t>付款方式及条件</w:t>
      </w:r>
    </w:p>
    <w:p w14:paraId="29CD033C">
      <w:pPr>
        <w:widowControl w:val="0"/>
        <w:spacing w:line="360" w:lineRule="auto"/>
        <w:ind w:firstLine="480"/>
        <w:jc w:val="both"/>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（一）付款方式：</w:t>
      </w:r>
    </w:p>
    <w:p w14:paraId="0E33C8D1">
      <w:pPr>
        <w:spacing w:line="360" w:lineRule="auto"/>
        <w:ind w:firstLine="480"/>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预付款：</w:t>
      </w:r>
      <w:r>
        <w:rPr>
          <w:rFonts w:hint="eastAsia" w:ascii="宋体" w:hAnsi="宋体" w:eastAsia="宋体" w:cs="Times New Roman"/>
          <w:color w:val="000000"/>
          <w:kern w:val="0"/>
          <w:sz w:val="24"/>
          <w:szCs w:val="24"/>
          <w:u w:val="single"/>
        </w:rPr>
        <w:t>合同金额的</w:t>
      </w:r>
      <w:r>
        <w:rPr>
          <w:rFonts w:hint="eastAsia" w:ascii="宋体" w:hAnsi="宋体" w:eastAsia="宋体" w:cs="Times New Roman"/>
          <w:color w:val="000000"/>
          <w:kern w:val="0"/>
          <w:sz w:val="24"/>
          <w:szCs w:val="24"/>
          <w:u w:val="single"/>
          <w:lang w:val="en-US" w:eastAsia="zh-CN"/>
        </w:rPr>
        <w:t>1</w:t>
      </w:r>
      <w:r>
        <w:rPr>
          <w:rFonts w:hint="eastAsia" w:ascii="宋体" w:hAnsi="宋体" w:eastAsia="宋体" w:cs="Times New Roman"/>
          <w:color w:val="000000"/>
          <w:kern w:val="0"/>
          <w:sz w:val="24"/>
          <w:szCs w:val="24"/>
          <w:u w:val="single"/>
        </w:rPr>
        <w:t>0%，合同签订后按规定支付</w:t>
      </w:r>
      <w:r>
        <w:rPr>
          <w:rFonts w:hint="eastAsia" w:ascii="宋体" w:hAnsi="宋体" w:eastAsia="宋体" w:cs="Times New Roman"/>
          <w:color w:val="000000"/>
          <w:kern w:val="0"/>
          <w:sz w:val="24"/>
          <w:szCs w:val="24"/>
          <w:lang w:val="zh-CN"/>
        </w:rPr>
        <w:t>；</w:t>
      </w:r>
    </w:p>
    <w:p w14:paraId="64FECBFF">
      <w:pPr>
        <w:widowControl w:val="0"/>
        <w:spacing w:line="360" w:lineRule="auto"/>
        <w:ind w:firstLine="480"/>
        <w:jc w:val="both"/>
        <w:rPr>
          <w:rFonts w:hint="default" w:ascii="宋体" w:hAnsi="宋体" w:eastAsia="宋体" w:cs="Times New Roman"/>
          <w:color w:val="000000"/>
          <w:sz w:val="24"/>
          <w:szCs w:val="24"/>
          <w:highlight w:val="yellow"/>
          <w:lang w:val="en-US" w:eastAsia="zh-CN" w:bidi="ar-SA"/>
        </w:rPr>
      </w:pPr>
      <w:r>
        <w:rPr>
          <w:rFonts w:hint="eastAsia" w:ascii="宋体" w:hAnsi="宋体" w:eastAsia="宋体" w:cs="Times New Roman"/>
          <w:color w:val="000000"/>
          <w:sz w:val="24"/>
          <w:szCs w:val="24"/>
          <w:highlight w:val="yellow"/>
          <w:lang w:val="en-US" w:eastAsia="zh-CN" w:bidi="ar-SA"/>
        </w:rPr>
        <w:t>进度款：</w:t>
      </w:r>
      <w:r>
        <w:rPr>
          <w:rFonts w:hint="eastAsia" w:ascii="宋体" w:hAnsi="宋体" w:eastAsia="宋体" w:cs="Times New Roman"/>
          <w:color w:val="000000"/>
          <w:sz w:val="24"/>
          <w:szCs w:val="24"/>
          <w:highlight w:val="yellow"/>
          <w:u w:val="single"/>
          <w:lang w:val="en-US" w:eastAsia="zh-CN" w:bidi="ar-SA"/>
        </w:rPr>
        <w:t>详细规划动态维护周期达半年期，以实际工作量支付进度款（扣除预付款）；</w:t>
      </w:r>
      <w:r>
        <w:rPr>
          <w:rFonts w:hint="eastAsia" w:ascii="宋体" w:hAnsi="宋体" w:eastAsia="宋体" w:cs="Times New Roman"/>
          <w:color w:val="000000"/>
          <w:sz w:val="24"/>
          <w:szCs w:val="24"/>
          <w:highlight w:val="green"/>
          <w:u w:val="single"/>
          <w:lang w:val="en-US" w:eastAsia="zh-CN" w:bidi="ar-SA"/>
        </w:rPr>
        <w:t>详细规划动态维护期满且动态维护成果经委托人验收合格后，以实际工作量结算支付剩余款项。</w:t>
      </w:r>
    </w:p>
    <w:p w14:paraId="14A2D72C">
      <w:pPr>
        <w:widowControl w:val="0"/>
        <w:spacing w:line="360" w:lineRule="auto"/>
        <w:ind w:right="105" w:firstLine="480"/>
        <w:jc w:val="left"/>
        <w:outlineLvl w:val="2"/>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注：1.在签订合同时，成交供应商明确表示无需预付款或者主动要求降低预付款比例的金额，采购人可不适用预付款规定。2.对于满足合同约定支付条件的，自收到发票后10个工作日内将资金支付到合同约定的供应商账户或供应商数字人民币账户。</w:t>
      </w:r>
    </w:p>
    <w:p w14:paraId="7CB495EC">
      <w:pPr>
        <w:widowControl w:val="0"/>
        <w:spacing w:line="360" w:lineRule="auto"/>
        <w:ind w:firstLine="480"/>
        <w:jc w:val="both"/>
        <w:outlineLvl w:val="1"/>
        <w:rPr>
          <w:rFonts w:hint="default" w:ascii="宋体" w:hAnsi="宋体" w:eastAsia="宋体" w:cs="Arial"/>
          <w:b/>
          <w:color w:val="000000"/>
          <w:sz w:val="24"/>
          <w:szCs w:val="24"/>
          <w:lang w:val="en-US" w:eastAsia="zh-CN" w:bidi="ar-SA"/>
        </w:rPr>
      </w:pPr>
      <w:r>
        <w:rPr>
          <w:rFonts w:hint="eastAsia" w:ascii="宋体" w:hAnsi="宋体" w:eastAsia="宋体" w:cs="Times New Roman"/>
          <w:color w:val="000000"/>
          <w:sz w:val="24"/>
          <w:szCs w:val="24"/>
          <w:lang w:val="en-US" w:eastAsia="zh-CN" w:bidi="ar-SA"/>
        </w:rPr>
        <w:t>（二）根据合同约定时间节点进行付款：每次</w:t>
      </w:r>
      <w:r>
        <w:rPr>
          <w:rFonts w:hint="default" w:ascii="宋体" w:hAnsi="宋体" w:eastAsia="宋体" w:cs="Times New Roman"/>
          <w:color w:val="000000"/>
          <w:sz w:val="24"/>
          <w:szCs w:val="24"/>
          <w:lang w:val="en-US" w:eastAsia="zh-CN" w:bidi="ar-SA"/>
        </w:rPr>
        <w:t>付款前，</w:t>
      </w:r>
      <w:r>
        <w:rPr>
          <w:rFonts w:hint="eastAsia" w:ascii="宋体" w:hAnsi="宋体" w:eastAsia="宋体" w:cs="Times New Roman"/>
          <w:color w:val="000000"/>
          <w:sz w:val="24"/>
          <w:szCs w:val="24"/>
          <w:lang w:val="en-US" w:eastAsia="zh-CN" w:bidi="ar-SA"/>
        </w:rPr>
        <w:t>中标人</w:t>
      </w:r>
      <w:r>
        <w:rPr>
          <w:rFonts w:hint="default" w:ascii="宋体" w:hAnsi="宋体" w:eastAsia="宋体" w:cs="Times New Roman"/>
          <w:color w:val="000000"/>
          <w:sz w:val="24"/>
          <w:szCs w:val="24"/>
          <w:lang w:val="en-US" w:eastAsia="zh-CN" w:bidi="ar-SA"/>
        </w:rPr>
        <w:t>需</w:t>
      </w:r>
      <w:r>
        <w:rPr>
          <w:rFonts w:hint="eastAsia" w:ascii="宋体" w:hAnsi="宋体" w:eastAsia="宋体" w:cs="Times New Roman"/>
          <w:color w:val="000000"/>
          <w:sz w:val="24"/>
          <w:szCs w:val="24"/>
          <w:lang w:val="en-US" w:eastAsia="zh-CN" w:bidi="ar-SA"/>
        </w:rPr>
        <w:t>开具</w:t>
      </w:r>
      <w:r>
        <w:rPr>
          <w:rFonts w:hint="default" w:ascii="宋体" w:hAnsi="宋体" w:eastAsia="宋体" w:cs="Times New Roman"/>
          <w:color w:val="000000"/>
          <w:sz w:val="24"/>
          <w:szCs w:val="24"/>
          <w:lang w:val="en-US" w:eastAsia="zh-CN" w:bidi="ar-SA"/>
        </w:rPr>
        <w:t>符合采购人要求</w:t>
      </w:r>
      <w:r>
        <w:rPr>
          <w:rFonts w:hint="eastAsia" w:ascii="宋体" w:hAnsi="宋体" w:eastAsia="宋体" w:cs="Times New Roman"/>
          <w:color w:val="000000"/>
          <w:sz w:val="24"/>
          <w:szCs w:val="24"/>
          <w:lang w:val="en-US" w:eastAsia="zh-CN" w:bidi="ar-SA"/>
        </w:rPr>
        <w:t>的</w:t>
      </w:r>
      <w:r>
        <w:rPr>
          <w:rFonts w:hint="default" w:ascii="宋体" w:hAnsi="宋体" w:eastAsia="宋体" w:cs="Times New Roman"/>
          <w:color w:val="000000"/>
          <w:sz w:val="24"/>
          <w:szCs w:val="24"/>
          <w:lang w:val="en-US" w:eastAsia="zh-CN" w:bidi="ar-SA"/>
        </w:rPr>
        <w:t>发票</w:t>
      </w:r>
      <w:r>
        <w:rPr>
          <w:rFonts w:hint="eastAsia" w:ascii="宋体" w:hAnsi="宋体" w:eastAsia="宋体" w:cs="Times New Roman"/>
          <w:color w:val="000000"/>
          <w:sz w:val="24"/>
          <w:szCs w:val="24"/>
          <w:lang w:val="en-US" w:eastAsia="zh-CN" w:bidi="ar-SA"/>
        </w:rPr>
        <w:t>。否则，采购人有权顺延付款时间，且不承担任何违约及赔偿责任。</w:t>
      </w:r>
    </w:p>
    <w:p w14:paraId="0732B6AD">
      <w:pPr>
        <w:widowControl w:val="0"/>
        <w:spacing w:line="360" w:lineRule="auto"/>
        <w:ind w:right="105" w:firstLine="480"/>
        <w:jc w:val="left"/>
        <w:outlineLvl w:val="1"/>
        <w:rPr>
          <w:rFonts w:hint="eastAsia" w:ascii="宋体" w:hAnsi="宋体" w:eastAsia="宋体" w:cs="Arial"/>
          <w:b/>
          <w:color w:val="000000"/>
          <w:sz w:val="24"/>
          <w:szCs w:val="24"/>
          <w:lang w:val="en-US" w:eastAsia="zh-CN" w:bidi="ar-SA"/>
        </w:rPr>
      </w:pPr>
      <w:r>
        <w:rPr>
          <w:rFonts w:hint="eastAsia" w:ascii="宋体" w:hAnsi="宋体" w:eastAsia="宋体" w:cs="Arial"/>
          <w:b/>
          <w:color w:val="000000"/>
          <w:sz w:val="24"/>
          <w:szCs w:val="24"/>
          <w:lang w:val="en-US" w:eastAsia="zh-CN" w:bidi="ar-SA"/>
        </w:rPr>
        <w:t>五、规划成果</w:t>
      </w:r>
    </w:p>
    <w:p w14:paraId="037A99F0">
      <w:pPr>
        <w:widowControl w:val="0"/>
        <w:spacing w:line="360" w:lineRule="auto"/>
        <w:ind w:right="105" w:firstLine="480"/>
        <w:jc w:val="left"/>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1、详细规划动态维护</w:t>
      </w:r>
    </w:p>
    <w:p w14:paraId="5EAC2C27">
      <w:pPr>
        <w:widowControl w:val="0"/>
        <w:spacing w:line="360" w:lineRule="auto"/>
        <w:ind w:right="105" w:firstLine="480"/>
        <w:jc w:val="left"/>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规划成果主要包括综合报告、动态更新图件（包括并不限于局部现状图、调整前用地规划图、调整后用地规划图、调整前图则、调整后图则等）。</w:t>
      </w:r>
    </w:p>
    <w:p w14:paraId="5A09EBEF">
      <w:pPr>
        <w:widowControl w:val="0"/>
        <w:spacing w:line="360" w:lineRule="auto"/>
        <w:ind w:right="105" w:firstLine="480"/>
        <w:jc w:val="left"/>
        <w:outlineLvl w:val="1"/>
        <w:rPr>
          <w:rFonts w:hint="eastAsia"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2、详细规划数据入库</w:t>
      </w:r>
    </w:p>
    <w:p w14:paraId="6D56664C">
      <w:pPr>
        <w:widowControl w:val="0"/>
        <w:spacing w:line="360" w:lineRule="auto"/>
        <w:ind w:right="105" w:firstLine="480"/>
        <w:jc w:val="left"/>
        <w:outlineLvl w:val="1"/>
        <w:rPr>
          <w:rFonts w:hint="default" w:ascii="宋体" w:hAnsi="宋体" w:eastAsia="宋体" w:cs="Arial"/>
          <w:b w:val="0"/>
          <w:bCs/>
          <w:color w:val="000000"/>
          <w:sz w:val="24"/>
          <w:szCs w:val="24"/>
          <w:lang w:val="en-US" w:eastAsia="zh-CN" w:bidi="ar-SA"/>
        </w:rPr>
      </w:pPr>
      <w:r>
        <w:rPr>
          <w:rFonts w:hint="eastAsia" w:ascii="宋体" w:hAnsi="宋体" w:eastAsia="宋体" w:cs="Arial"/>
          <w:b w:val="0"/>
          <w:bCs/>
          <w:color w:val="000000"/>
          <w:sz w:val="24"/>
          <w:szCs w:val="24"/>
          <w:lang w:val="en-US" w:eastAsia="zh-CN" w:bidi="ar-SA"/>
        </w:rPr>
        <w:t>经审查同意并按相关程序获得批复的动态更新方案，按照江苏省自然资源厅发布的《江苏省城镇开发边界内详细规划数据库标准》（试行）要求，同时对接宿迁市详细规划数据库相关规定，进行数据建设。待数据库审核通过后，与</w:t>
      </w:r>
      <w:r>
        <w:rPr>
          <w:rFonts w:hint="eastAsia" w:ascii="宋体" w:hAnsi="宋体" w:eastAsia="宋体" w:cs="Arial"/>
          <w:b w:val="0"/>
          <w:bCs/>
          <w:color w:val="000000"/>
          <w:sz w:val="24"/>
          <w:szCs w:val="24"/>
          <w:highlight w:val="green"/>
          <w:lang w:val="en-US" w:eastAsia="zh-CN" w:bidi="ar-SA"/>
        </w:rPr>
        <w:t>国土空间规划“一张图”</w:t>
      </w:r>
      <w:r>
        <w:rPr>
          <w:rFonts w:hint="eastAsia" w:ascii="宋体" w:hAnsi="宋体" w:eastAsia="宋体" w:cs="Arial"/>
          <w:b w:val="0"/>
          <w:bCs/>
          <w:color w:val="000000"/>
          <w:sz w:val="24"/>
          <w:szCs w:val="24"/>
          <w:lang w:val="en-US" w:eastAsia="zh-CN" w:bidi="ar-SA"/>
        </w:rPr>
        <w:t>维护单位对接，</w:t>
      </w:r>
      <w:r>
        <w:rPr>
          <w:rFonts w:hint="eastAsia" w:ascii="宋体" w:hAnsi="宋体" w:eastAsia="宋体" w:cs="Arial"/>
          <w:b w:val="0"/>
          <w:bCs/>
          <w:color w:val="000000"/>
          <w:sz w:val="24"/>
          <w:szCs w:val="24"/>
          <w:highlight w:val="green"/>
          <w:lang w:val="en-US" w:eastAsia="zh-CN" w:bidi="ar-SA"/>
        </w:rPr>
        <w:t>录入国土空间规划“一张图”实施监督平台</w:t>
      </w:r>
      <w:r>
        <w:rPr>
          <w:rFonts w:hint="eastAsia" w:ascii="宋体" w:hAnsi="宋体" w:eastAsia="宋体" w:cs="Arial"/>
          <w:b w:val="0"/>
          <w:bCs/>
          <w:color w:val="000000"/>
          <w:sz w:val="24"/>
          <w:szCs w:val="24"/>
          <w:lang w:val="en-US" w:eastAsia="zh-CN" w:bidi="ar-SA"/>
        </w:rPr>
        <w:t>并调试运行稳定，以保证控规数据的时效性。</w:t>
      </w:r>
    </w:p>
    <w:p w14:paraId="66CDC8BE">
      <w:pPr>
        <w:widowControl w:val="0"/>
        <w:spacing w:line="360" w:lineRule="auto"/>
        <w:ind w:right="105" w:firstLine="482"/>
        <w:jc w:val="left"/>
        <w:outlineLvl w:val="2"/>
        <w:rPr>
          <w:rFonts w:hint="eastAsia" w:ascii="宋体" w:hAnsi="宋体" w:eastAsia="宋体" w:cs="Arial"/>
          <w:b/>
          <w:color w:val="000000"/>
          <w:sz w:val="24"/>
          <w:szCs w:val="24"/>
          <w:lang w:val="en-US" w:eastAsia="zh-CN" w:bidi="ar-SA"/>
        </w:rPr>
      </w:pPr>
      <w:r>
        <w:rPr>
          <w:rFonts w:hint="eastAsia" w:ascii="宋体" w:hAnsi="宋体" w:eastAsia="宋体" w:cs="Arial"/>
          <w:b/>
          <w:color w:val="000000"/>
          <w:sz w:val="24"/>
          <w:szCs w:val="24"/>
          <w:lang w:val="en-US" w:eastAsia="zh-CN" w:bidi="ar-SA"/>
        </w:rPr>
        <w:t>六、项目人员要求</w:t>
      </w:r>
    </w:p>
    <w:p w14:paraId="68F40918">
      <w:pPr>
        <w:widowControl w:val="0"/>
        <w:spacing w:line="360" w:lineRule="auto"/>
        <w:ind w:right="105" w:firstLine="480"/>
        <w:jc w:val="left"/>
        <w:outlineLvl w:val="2"/>
        <w:rPr>
          <w:rFonts w:hint="eastAsia" w:ascii="宋体" w:hAnsi="宋体" w:eastAsia="宋体" w:cs="Arial"/>
          <w:bCs/>
          <w:color w:val="000000"/>
          <w:sz w:val="24"/>
          <w:szCs w:val="24"/>
          <w:lang w:val="en-US" w:eastAsia="zh-CN" w:bidi="ar-SA"/>
        </w:rPr>
      </w:pPr>
      <w:r>
        <w:rPr>
          <w:rFonts w:hint="eastAsia" w:ascii="宋体" w:hAnsi="宋体" w:eastAsia="宋体" w:cs="Arial"/>
          <w:bCs/>
          <w:color w:val="000000"/>
          <w:sz w:val="24"/>
          <w:szCs w:val="24"/>
          <w:lang w:val="en-US" w:eastAsia="zh-CN" w:bidi="ar-SA"/>
        </w:rPr>
        <w:t>项目组成员要求项目负责人1名（须具有城乡（市）规划专业中级及以上技术职称证书），项目组其他成员不少于5人。</w:t>
      </w:r>
    </w:p>
    <w:p w14:paraId="536B4B0F">
      <w:pPr>
        <w:widowControl w:val="0"/>
        <w:spacing w:line="360" w:lineRule="auto"/>
        <w:ind w:right="105" w:firstLine="482"/>
        <w:jc w:val="left"/>
        <w:outlineLvl w:val="2"/>
        <w:rPr>
          <w:rFonts w:hint="eastAsia" w:ascii="宋体" w:hAnsi="宋体" w:eastAsia="宋体" w:cs="Arial"/>
          <w:b/>
          <w:color w:val="000000"/>
          <w:sz w:val="24"/>
          <w:szCs w:val="24"/>
          <w:lang w:val="en-US" w:eastAsia="zh-CN" w:bidi="ar-SA"/>
        </w:rPr>
      </w:pPr>
      <w:r>
        <w:rPr>
          <w:rFonts w:hint="eastAsia" w:ascii="宋体" w:hAnsi="宋体" w:eastAsia="宋体" w:cs="Arial"/>
          <w:b/>
          <w:color w:val="000000"/>
          <w:sz w:val="24"/>
          <w:szCs w:val="24"/>
          <w:lang w:val="en-US" w:eastAsia="zh-CN" w:bidi="ar-SA"/>
        </w:rPr>
        <w:t>七、项目实施方案</w:t>
      </w:r>
    </w:p>
    <w:p w14:paraId="4E31BE47">
      <w:pPr>
        <w:widowControl w:val="0"/>
        <w:spacing w:line="360" w:lineRule="auto"/>
        <w:ind w:right="105" w:firstLine="480"/>
        <w:jc w:val="left"/>
        <w:outlineLvl w:val="1"/>
        <w:rPr>
          <w:rFonts w:hint="eastAsia" w:ascii="宋体" w:hAnsi="宋体" w:eastAsia="宋体" w:cs="Arial"/>
          <w:bCs/>
          <w:color w:val="000000"/>
          <w:sz w:val="24"/>
          <w:szCs w:val="24"/>
          <w:lang w:val="en-US" w:eastAsia="zh-CN" w:bidi="ar-SA"/>
        </w:rPr>
      </w:pPr>
      <w:r>
        <w:rPr>
          <w:rFonts w:hint="eastAsia" w:ascii="宋体" w:hAnsi="宋体" w:eastAsia="宋体" w:cs="Arial"/>
          <w:bCs/>
          <w:color w:val="000000"/>
          <w:sz w:val="24"/>
          <w:szCs w:val="24"/>
          <w:lang w:val="en-US" w:eastAsia="zh-CN" w:bidi="ar-SA"/>
        </w:rPr>
        <w:t>（一）详细规划动态维护整体思路：供应商应提供整体思路清晰、项目目标研究充分、工作重点把握准确、转化落地的实施性。</w:t>
      </w:r>
    </w:p>
    <w:p w14:paraId="1E917656">
      <w:pPr>
        <w:widowControl w:val="0"/>
        <w:spacing w:line="360" w:lineRule="auto"/>
        <w:ind w:right="105" w:firstLine="480"/>
        <w:jc w:val="left"/>
        <w:outlineLvl w:val="1"/>
        <w:rPr>
          <w:rFonts w:hint="eastAsia" w:ascii="宋体" w:hAnsi="宋体" w:eastAsia="宋体" w:cs="Arial"/>
          <w:bCs/>
          <w:color w:val="000000"/>
          <w:sz w:val="24"/>
          <w:szCs w:val="24"/>
          <w:lang w:val="en-US" w:eastAsia="zh-CN" w:bidi="ar-SA"/>
        </w:rPr>
      </w:pPr>
      <w:r>
        <w:rPr>
          <w:rFonts w:hint="eastAsia" w:ascii="宋体" w:hAnsi="宋体" w:eastAsia="宋体" w:cs="Arial"/>
          <w:bCs/>
          <w:color w:val="000000"/>
          <w:sz w:val="24"/>
          <w:szCs w:val="24"/>
          <w:lang w:val="en-US" w:eastAsia="zh-CN" w:bidi="ar-SA"/>
        </w:rPr>
        <w:t>（二）详细规划数据入库整体思路：整体思路清晰、项目目标研究充分、工作重点把握准确、转化落地的实施性。</w:t>
      </w:r>
    </w:p>
    <w:p w14:paraId="6778AB9F">
      <w:pPr>
        <w:widowControl w:val="0"/>
        <w:spacing w:line="360" w:lineRule="auto"/>
        <w:ind w:right="105" w:firstLine="480"/>
        <w:jc w:val="left"/>
        <w:outlineLvl w:val="1"/>
        <w:rPr>
          <w:rFonts w:hint="eastAsia" w:ascii="宋体" w:hAnsi="宋体" w:eastAsia="宋体" w:cs="Arial"/>
          <w:bCs/>
          <w:color w:val="000000"/>
          <w:sz w:val="24"/>
          <w:szCs w:val="24"/>
          <w:lang w:val="en-US" w:eastAsia="zh-CN" w:bidi="ar-SA"/>
        </w:rPr>
      </w:pPr>
      <w:r>
        <w:rPr>
          <w:rFonts w:hint="eastAsia" w:ascii="宋体" w:hAnsi="宋体" w:eastAsia="宋体" w:cs="Arial"/>
          <w:bCs/>
          <w:color w:val="000000"/>
          <w:sz w:val="24"/>
          <w:szCs w:val="24"/>
          <w:lang w:val="en-US" w:eastAsia="zh-CN" w:bidi="ar-SA"/>
        </w:rPr>
        <w:t>（三）关键问题分析：供应商应提供分析项目关键问题并制定相应解决方案。能精准提出本项目相关的关键问题点，对问题点有充分的认识，并对此提供的切实高效的解决方案且对策的分析清晰准确。</w:t>
      </w:r>
    </w:p>
    <w:p w14:paraId="3A9EC233">
      <w:pPr>
        <w:widowControl w:val="0"/>
        <w:spacing w:line="360" w:lineRule="auto"/>
        <w:ind w:right="105" w:firstLine="480"/>
        <w:jc w:val="left"/>
        <w:outlineLvl w:val="1"/>
        <w:rPr>
          <w:rFonts w:hint="default" w:ascii="宋体" w:hAnsi="宋体" w:eastAsia="宋体" w:cs="Arial"/>
          <w:bCs/>
          <w:color w:val="000000"/>
          <w:sz w:val="24"/>
          <w:szCs w:val="24"/>
          <w:lang w:val="en-US" w:eastAsia="zh-CN" w:bidi="ar-SA"/>
        </w:rPr>
      </w:pPr>
      <w:r>
        <w:rPr>
          <w:rFonts w:hint="eastAsia" w:ascii="宋体" w:hAnsi="宋体" w:eastAsia="宋体" w:cs="Arial"/>
          <w:bCs/>
          <w:color w:val="000000"/>
          <w:sz w:val="24"/>
          <w:szCs w:val="24"/>
          <w:lang w:val="en-US" w:eastAsia="zh-CN" w:bidi="ar-SA"/>
        </w:rPr>
        <w:t>（四）质量保证措施：供应商应提供对项目实施提出相应的质量保证措施，项目组织管理体系的架构和项目的运作规划完善、高效，岗位设置及岗位职责详细、得当</w:t>
      </w:r>
    </w:p>
    <w:p w14:paraId="3737E3FE">
      <w:pPr>
        <w:widowControl w:val="0"/>
        <w:spacing w:line="360" w:lineRule="auto"/>
        <w:ind w:right="105" w:firstLine="482"/>
        <w:jc w:val="left"/>
        <w:outlineLvl w:val="1"/>
        <w:rPr>
          <w:rFonts w:hint="eastAsia" w:ascii="宋体" w:hAnsi="宋体" w:eastAsia="宋体" w:cs="Arial"/>
          <w:b/>
          <w:color w:val="000000"/>
          <w:sz w:val="24"/>
          <w:szCs w:val="24"/>
          <w:lang w:val="en-US" w:eastAsia="zh-CN" w:bidi="ar-SA"/>
        </w:rPr>
      </w:pPr>
      <w:r>
        <w:rPr>
          <w:rFonts w:hint="eastAsia" w:ascii="宋体" w:hAnsi="宋体" w:eastAsia="宋体" w:cs="Arial"/>
          <w:b/>
          <w:color w:val="000000"/>
          <w:sz w:val="24"/>
          <w:szCs w:val="24"/>
          <w:lang w:val="en-US" w:eastAsia="zh-CN" w:bidi="ar-SA"/>
        </w:rPr>
        <w:t>九、质量及验收</w:t>
      </w:r>
    </w:p>
    <w:p w14:paraId="776EA07E">
      <w:pPr>
        <w:widowControl w:val="0"/>
        <w:spacing w:line="360" w:lineRule="auto"/>
        <w:ind w:right="105" w:firstLine="480"/>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（一）质量要求：合格；根据宿迁市自然资源和规划局的进度要求，按期、保质、保量完成对村庄规划评估和村庄规划指南编制工作。</w:t>
      </w:r>
    </w:p>
    <w:p w14:paraId="11A7F887">
      <w:pPr>
        <w:widowControl w:val="0"/>
        <w:spacing w:line="360" w:lineRule="auto"/>
        <w:ind w:right="105" w:firstLine="480"/>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（二）验收：提交的成果资料符合相关规范、符合宿迁市自然资源和规划局有关要求，并顺利通过采购人验收。</w:t>
      </w:r>
    </w:p>
    <w:p w14:paraId="1AD7E7D0">
      <w:pPr>
        <w:widowControl w:val="0"/>
        <w:spacing w:line="360" w:lineRule="auto"/>
        <w:ind w:left="479" w:right="105"/>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1、验收方案</w:t>
      </w:r>
    </w:p>
    <w:p w14:paraId="63E1AAC7">
      <w:pPr>
        <w:widowControl w:val="0"/>
        <w:spacing w:line="360" w:lineRule="auto"/>
        <w:ind w:left="479" w:right="105"/>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1.1验收主体：采购人组织。</w:t>
      </w:r>
    </w:p>
    <w:p w14:paraId="3B2DE829">
      <w:pPr>
        <w:widowControl w:val="0"/>
        <w:spacing w:line="360" w:lineRule="auto"/>
        <w:ind w:right="105" w:firstLine="480"/>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1.2验收时间：</w:t>
      </w:r>
      <w:r>
        <w:rPr>
          <w:rFonts w:hint="eastAsia" w:ascii="Times New Roman" w:hAnsi="Times New Roman" w:eastAsia="宋体" w:cs="Courier New"/>
          <w:color w:val="000000"/>
          <w:sz w:val="24"/>
          <w:szCs w:val="24"/>
          <w:lang w:val="en-US" w:eastAsia="zh-CN" w:bidi="ar-SA"/>
        </w:rPr>
        <w:t>中标人向采购人提交项目验收技术资料以及验收申请单，采购人收到申请后3个工作日内组织验收并按照合同约定以及投标文件中的技术标准进行验收无问题后签署验收单。</w:t>
      </w:r>
    </w:p>
    <w:p w14:paraId="65D76967">
      <w:pPr>
        <w:widowControl w:val="0"/>
        <w:spacing w:line="360" w:lineRule="auto"/>
        <w:ind w:right="105" w:firstLine="480"/>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1.3验收标准：应符合国家、行业有关现行政策及标准与规范要求。符合本项目磋商文件需求及要求、响应文件及其承诺；</w:t>
      </w:r>
    </w:p>
    <w:p w14:paraId="0E5FF800">
      <w:pPr>
        <w:widowControl w:val="0"/>
        <w:spacing w:line="360" w:lineRule="auto"/>
        <w:ind w:right="105" w:firstLine="480"/>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1.4如有必要，采购人邀请参加本项目的其他供应商或第三方专业机构及专家参与验收，相关意见将作为验收书的参考资料；</w:t>
      </w:r>
    </w:p>
    <w:p w14:paraId="03893449">
      <w:pPr>
        <w:widowControl w:val="0"/>
        <w:spacing w:line="360" w:lineRule="auto"/>
        <w:ind w:right="105" w:firstLine="480"/>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11.5采购人成立验收小组，按照采购合同的约定对成交人的履约情况进行验收。验收时，采购人按照采购合同的约定对每一项技术、服务、安全标准的履约情况进行确认。验收结束后，验收小组出具验收书，列明各项标准的验收情况及项目总体评价，由验收双方共同签署。验收结果与采购合同约定的资金支付条件挂钩。履约验收的各项资料存档备查。</w:t>
      </w:r>
    </w:p>
    <w:p w14:paraId="1A8A2350">
      <w:pPr>
        <w:widowControl w:val="0"/>
        <w:spacing w:line="360" w:lineRule="auto"/>
        <w:ind w:right="105" w:firstLine="480"/>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1.6 验收合格的项目，采购人根据采购合同的约定及时向成交人支付合同款项。采购合同的履行、违约责任和解决争议的方式等适用《中华人民共和国民法典》。成交人在履约过程中有政府采购法律法规规定的违法违规情形的，采购人将及时报告本级财政部门。</w:t>
      </w:r>
    </w:p>
    <w:p w14:paraId="7026C0E3">
      <w:pPr>
        <w:widowControl w:val="0"/>
        <w:spacing w:line="360" w:lineRule="auto"/>
        <w:ind w:right="105" w:firstLine="482"/>
        <w:jc w:val="left"/>
        <w:outlineLvl w:val="1"/>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十、采购标的需实现的功能或者目标，以及为落实政府采购政策需满足的要求：</w:t>
      </w:r>
    </w:p>
    <w:p w14:paraId="44870337">
      <w:pPr>
        <w:widowControl w:val="0"/>
        <w:spacing w:line="360" w:lineRule="auto"/>
        <w:ind w:right="105" w:firstLine="480"/>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（一）采购本国货物、工程和服务</w:t>
      </w:r>
    </w:p>
    <w:p w14:paraId="7F607AD4">
      <w:pPr>
        <w:widowControl w:val="0"/>
        <w:spacing w:line="360" w:lineRule="auto"/>
        <w:ind w:right="105" w:firstLine="480"/>
        <w:jc w:val="left"/>
        <w:outlineLvl w:val="1"/>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1、政府采购应当采购本国货物、工程和服务，但有《中华人民共和国政府采购法》第十条规定情形的除外。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731DC"/>
    <w:rsid w:val="61373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2025-10-23T02:38:00Z</dcterms:created>
  <dc:creator>.....</dc:creator>
  <cp:lastModifiedBy>.....</cp:lastModifiedBy>
  <dcterms:modified xsi:type="dcterms:W3CDTF">2025-10-23T02:38:21Z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10F53C5D008C403CA67C6DF990705E9B_11</vt:lpwstr>
  </property>
  <property fmtid="{D5CDD505-2E9C-101B-9397-08002B2CF9AE}" pid="4" name="KSOTemplateDocerSaveRecord">
    <vt:lpwstr>eyJoZGlkIjoiZGM2YmNiMjMxNDNkYTc0MjI2Njg5YTkzNTJiOGM3YjYiLCJ1c2VySWQiOiI2MDUzNjE4MzgifQ==</vt:lpwstr>
  </property>
</Properties>
</file>